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Dilemas morales en el mundo contemporáneo: DECISIONES PERSONALES JUSTAS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(para la educación a distancia)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803339" cy="89435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339" cy="894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color w:val="c55911"/>
          <w:sz w:val="24"/>
          <w:szCs w:val="24"/>
          <w:rtl w:val="0"/>
        </w:rPr>
        <w:t xml:space="preserve">El objetivo de esta actividad de aprendizaje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es</w:t>
      </w:r>
      <w:r w:rsidDel="00000000" w:rsidR="00000000" w:rsidRPr="00000000">
        <w:rPr>
          <w:b w:val="1"/>
          <w:color w:val="c5591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analizar y reflexionar sobre el concepto de “decisiones personales justas” como </w:t>
      </w:r>
      <w:r w:rsidDel="00000000" w:rsidR="00000000" w:rsidRPr="00000000">
        <w:rPr>
          <w:sz w:val="24"/>
          <w:szCs w:val="24"/>
          <w:rtl w:val="0"/>
        </w:rPr>
        <w:t xml:space="preserve">alumnos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y como educadores de adultos.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c55911"/>
          <w:sz w:val="24"/>
          <w:szCs w:val="24"/>
          <w:rtl w:val="0"/>
        </w:rPr>
        <w:t xml:space="preserve">Los EA aprenderán cómo</w:t>
      </w:r>
      <w:r w:rsidDel="00000000" w:rsidR="00000000" w:rsidRPr="00000000">
        <w:rPr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presentar y discutir los conceptos con estudiantes adultos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utilizar </w:t>
      </w: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marco metodológico para enseñar a los grupos destinatarios en la práctica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reflexionar sobre el contenido y el proceso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planificar su propio proceso de enseñanza-aprendizaje, mientras presentan el material del curso para grupos destinatarios específicos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color w:val="c55911"/>
          <w:sz w:val="24"/>
          <w:szCs w:val="24"/>
          <w:rtl w:val="0"/>
        </w:rPr>
        <w:t xml:space="preserve">Cómo funciona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aprendizaje se basa en el enfoque </w:t>
      </w:r>
      <w:r w:rsidDel="00000000" w:rsidR="00000000" w:rsidRPr="00000000">
        <w:rPr>
          <w:sz w:val="24"/>
          <w:szCs w:val="24"/>
          <w:rtl w:val="0"/>
        </w:rPr>
        <w:t xml:space="preserve">MIC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y el marco E</w:t>
      </w:r>
      <w:r w:rsidDel="00000000" w:rsidR="00000000" w:rsidRPr="00000000">
        <w:rPr>
          <w:sz w:val="24"/>
          <w:szCs w:val="24"/>
          <w:rtl w:val="0"/>
        </w:rPr>
        <w:t xml:space="preserve">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(evocación / </w:t>
      </w:r>
      <w:r w:rsidDel="00000000" w:rsidR="00000000" w:rsidRPr="00000000">
        <w:rPr>
          <w:sz w:val="24"/>
          <w:szCs w:val="24"/>
          <w:rtl w:val="0"/>
        </w:rPr>
        <w:t xml:space="preserve">adquisición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significado / reflexión)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aprendizaje emplea </w:t>
      </w:r>
      <w:r w:rsidDel="00000000" w:rsidR="00000000" w:rsidRPr="00000000">
        <w:rPr>
          <w:sz w:val="24"/>
          <w:szCs w:val="24"/>
          <w:rtl w:val="0"/>
        </w:rPr>
        <w:t xml:space="preserve">ejemplos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el Doble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iario, trabajo individual y en grupo, discusiones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duración de la entrega para este tema es de 1 a 1,5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Parte I Presentación de la actividad modelo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spacing w:line="240" w:lineRule="auto"/>
        <w:rPr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Tarea de evocación para los participantes del curso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Lea las siguientes declaraciones y decida qué decisiones parecen justas y cuáles no. ¿Por qué?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Para escribir este ensayo en inglés, solo voy a copiar y pegar de una tarea similar que hice el año pasado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. No tengo ganas de ir a la escuela hoy. Le pediré a mi mamá que llame a la maestra de mi clase y le diga que tengo un fuerte dolor de cabeza.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 leído lo suficiente sobre el calentamiento global. Estoy bastante seguro de que el consumo es el principal motivo de ello. Entonces, no voy a buscar ninguna otra causa.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No voy a estudiar. He estado en la escuela durante 12 años y sé de qué se trata la enseñanza y el aprendizaje.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Soy demasiado mayor para cualquier tipo de actividad loca. Las personas de mi edad deben modelar un comportamiento apropiado.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360" w:hanging="360"/>
        <w:rPr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i w:val="1"/>
          <w:sz w:val="24"/>
          <w:szCs w:val="24"/>
          <w:rtl w:val="0"/>
        </w:rPr>
        <w:t xml:space="preserve">Conozco a mis vecinos adolescentes desde hace algún tiempo</w:t>
      </w:r>
      <w:r w:rsidDel="00000000" w:rsidR="00000000" w:rsidRPr="00000000">
        <w:rPr>
          <w:sz w:val="24"/>
          <w:szCs w:val="24"/>
          <w:rtl w:val="0"/>
        </w:rPr>
        <w:t xml:space="preserve"> . </w:t>
      </w:r>
      <w:r w:rsidDel="00000000" w:rsidR="00000000" w:rsidRPr="00000000">
        <w:rPr>
          <w:i w:val="1"/>
          <w:sz w:val="24"/>
          <w:szCs w:val="24"/>
          <w:rtl w:val="0"/>
        </w:rPr>
        <w:t xml:space="preserve">Creo que todos los adolescentes tienen personalidades muy complicadas.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Los participantes del curso piensan por sí mismos durante 3-5 minutos, luego presentan y justifican su criterio. Los grupos pueden participar en una discusión breve, de un máximo de 10 minutos.  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pStyle w:val="Heading3"/>
        <w:spacing w:after="0" w:line="240" w:lineRule="auto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Tarea de realización de significado / comprensión. 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Tarea individual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Ver cortometraje de Pepe Danquart “Schwarzafahren” / ”Black rider”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https://www.youtube.com/watch?v=XFQXcv1k9OM&amp;t=30s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4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Mientras ven el video, </w:t>
      </w:r>
      <w:r w:rsidDel="00000000" w:rsidR="00000000" w:rsidRPr="00000000">
        <w:rPr>
          <w:rFonts w:ascii="Arial" w:cs="Arial" w:eastAsia="Arial" w:hAnsi="Arial"/>
          <w:rtl w:val="0"/>
        </w:rPr>
        <w:t xml:space="preserve">se les debe pedir a los participantes del curso que realicen una tarea individual: completar el Diario Doble</w:t>
      </w:r>
      <w:r w:rsidDel="00000000" w:rsidR="00000000" w:rsidRPr="00000000">
        <w:rPr>
          <w:sz w:val="24"/>
          <w:szCs w:val="24"/>
          <w:rtl w:val="0"/>
        </w:rPr>
        <w:t xml:space="preserve">. El lado izquierdo de la tabla es para la descripción de una decisión justa / no justa detectada, el lado derecho es para las justificaciones: ¿por qué se consideran las acciones como justas / no justas?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4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recomienda que la película se vea en 4 partes. La primera parte: 0: 00-2: 17; la segunda parte: 2: 18-5: 03; la tercera parte: 5: 04-7: 30; la cuarta parte: 7: 31-9:59. La pausa entre cada parte se utilizará para completar el Diario Doble. 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45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Tiempo para el trabajo individual: 20 minutos.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DIARIO DOBLE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4678"/>
        <w:tblGridChange w:id="0">
          <w:tblGrid>
            <w:gridCol w:w="5382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Ejemplos de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decisiones</w:t>
            </w: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justas / no justas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(¿quién hizo qué?)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Por qué es justo / no justo (justificación)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1ª parada: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2ª parada: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3ª parada: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4ª parada: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after="0" w:line="240" w:lineRule="auto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Tarea de realización de significado / comprensión.</w:t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Tarea grupal 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Los participantes del curso continúan trabajando en salas para pequeños grupos. Se les pide que compartan sus Diarios Dobles. Cada declaración debe estar justificada por información, hechos o pruebas relevantes.   </w:t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Tiempo aproximado para el trabajo en grupo: 10 a 15 minutos (dependiendo del tamaño del grupo); y 2-3 minutos para la presentación de cada grupo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shd w:fill="fefefe" w:val="clear"/>
        <w:spacing w:after="0" w:line="240" w:lineRule="auto"/>
        <w:rPr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Reflexión sobre la sesión principal.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 pide a los participantes que reflexionen sobre la resolución de la situación: ¿qué piensan al respecto? ¿Es justo / no justo? ¿Para quién? Tiempo aproximado -10-15 minutos </w:t>
      </w:r>
    </w:p>
    <w:p w:rsidR="00000000" w:rsidDel="00000000" w:rsidP="00000000" w:rsidRDefault="00000000" w:rsidRPr="00000000" w14:paraId="0000003D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Style w:val="Heading2"/>
        <w:spacing w:after="0" w:line="240" w:lineRule="auto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Parte II. Análisis del proceso</w:t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Recordar todos los pasos de la actividad / lección</w:t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Análisis de la actividad / lección desde la perspectiva del alumno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Análisis de la actividad / lección desde la perspectiva del educador de adultos</w:t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Discusiones: ¿cómo aprendimos? / ¿Qué aprendimos? </w:t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spacing w:after="0" w:line="240" w:lineRule="auto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Parte III. Planificación para la implementación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Discusiones sobre cómo y a quién se puede aplicar esta lección / actividad en contextos locales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Desarrollo de un plan preliminar para la implementación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Posibles adaptaciones: 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b w:val="1"/>
          <w:color w:val="ed7d31"/>
          <w:rtl w:val="0"/>
        </w:rPr>
        <w:t xml:space="preserve">Contenido: </w:t>
      </w:r>
      <w:r w:rsidDel="00000000" w:rsidR="00000000" w:rsidRPr="00000000">
        <w:rPr>
          <w:rtl w:val="0"/>
        </w:rPr>
        <w:t xml:space="preserve">use cualquier material audiovisual relevante para el perfil / experiencia del grupo;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b w:val="1"/>
          <w:color w:val="ed7d31"/>
          <w:rtl w:val="0"/>
        </w:rPr>
        <w:t xml:space="preserve">Tiempo: </w:t>
      </w:r>
      <w:r w:rsidDel="00000000" w:rsidR="00000000" w:rsidRPr="00000000">
        <w:rPr>
          <w:rtl w:val="0"/>
        </w:rPr>
        <w:t xml:space="preserve">programar el trabajo de acuerdo con el tamaño del grupo; tomar descansos si es necesario (recomendado después de la etapa de evocación y / o realización del significado); Deje tiempo suficiente para la reflexión, el análisis del proceso y la planificación de la implementación. 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  <w:color w:val="ed7d31"/>
        </w:rPr>
      </w:pPr>
      <w:r w:rsidDel="00000000" w:rsidR="00000000" w:rsidRPr="00000000">
        <w:rPr>
          <w:b w:val="1"/>
          <w:color w:val="ed7d31"/>
          <w:rtl w:val="0"/>
        </w:rPr>
        <w:t xml:space="preserve">Trabajar en la sesión principal / romper nuestras salas</w:t>
      </w:r>
      <w:r w:rsidDel="00000000" w:rsidR="00000000" w:rsidRPr="00000000">
        <w:rPr>
          <w:color w:val="c55911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si el grupo de alumnos es pequeño, no es necesario trabajar en salas. Si el grupo es grande, se recomienda trabajar en parejas de formadores / educadores de adultos. </w:t>
      </w:r>
      <w:r w:rsidDel="00000000" w:rsidR="00000000" w:rsidRPr="00000000">
        <w:rPr>
          <w:b w:val="1"/>
          <w:color w:val="ed7d31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0" w:line="240" w:lineRule="auto"/>
        <w:jc w:val="center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Referencias</w:t>
      </w:r>
    </w:p>
    <w:p w:rsidR="00000000" w:rsidDel="00000000" w:rsidP="00000000" w:rsidRDefault="00000000" w:rsidRPr="00000000" w14:paraId="0000004F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color w:val="333333"/>
          <w:highlight w:val="white"/>
          <w:rtl w:val="0"/>
        </w:rPr>
        <w:t xml:space="preserve">Auhagen, AE (1987). Un nuevo enfoque para el estudio de las relaciones personales: el método del doble diario.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Revista alemana de psicología, 11</w:t>
      </w:r>
      <w:r w:rsidDel="00000000" w:rsidR="00000000" w:rsidRPr="00000000">
        <w:rPr>
          <w:color w:val="333333"/>
          <w:highlight w:val="white"/>
          <w:rtl w:val="0"/>
        </w:rPr>
        <w:t xml:space="preserve">(1), 3-7.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Pepe Danquart "Schwarzfahrer" / "Black rider" 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https://www.youtube.com/watch?v=XFQXcv1k9OM&amp;t=30s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620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cs="Calibri" w:eastAsia="Calibri" w:hAnsi="Calibri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Calibri" w:cs="Calibri" w:eastAsia="Calibri" w:hAnsi="Calibri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alibri" w:cs="Calibri" w:eastAsia="Calibri" w:hAnsi="Calibri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Calibri" w:cs="Calibri" w:eastAsia="Calibri" w:hAnsi="Calibri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Calibri" w:cs="Calibri" w:eastAsia="Calibri" w:hAnsi="Calibri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alibri" w:cs="Calibri" w:eastAsia="Calibri" w:hAnsi="Calibri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Calibri" w:cs="Calibri" w:eastAsia="Calibri" w:hAnsi="Calibri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Calibri" w:cs="Calibri" w:eastAsia="Calibri" w:hAnsi="Calibri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XFQXcv1k9OM&amp;t=30s" TargetMode="External"/><Relationship Id="rId8" Type="http://schemas.openxmlformats.org/officeDocument/2006/relationships/hyperlink" Target="https://www.youtube.com/watch?v=XFQXcv1k9OM&amp;t=3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